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BCE3" w14:textId="77777777" w:rsidR="00FE067E" w:rsidRPr="00184B16" w:rsidRDefault="003C6034" w:rsidP="00CC1F3B">
      <w:pPr>
        <w:pStyle w:val="TitlePageOrigin"/>
        <w:rPr>
          <w:color w:val="auto"/>
        </w:rPr>
      </w:pPr>
      <w:r w:rsidRPr="00184B16">
        <w:rPr>
          <w:caps w:val="0"/>
          <w:color w:val="auto"/>
        </w:rPr>
        <w:t>WEST VIRGINIA LEGISLATURE</w:t>
      </w:r>
    </w:p>
    <w:p w14:paraId="52C212C7" w14:textId="77777777" w:rsidR="00CD36CF" w:rsidRPr="00184B16" w:rsidRDefault="00CD36CF" w:rsidP="00CC1F3B">
      <w:pPr>
        <w:pStyle w:val="TitlePageSession"/>
        <w:rPr>
          <w:color w:val="auto"/>
        </w:rPr>
      </w:pPr>
      <w:r w:rsidRPr="00184B16">
        <w:rPr>
          <w:color w:val="auto"/>
        </w:rPr>
        <w:t>20</w:t>
      </w:r>
      <w:r w:rsidR="00EC5E63" w:rsidRPr="00184B16">
        <w:rPr>
          <w:color w:val="auto"/>
        </w:rPr>
        <w:t>2</w:t>
      </w:r>
      <w:r w:rsidR="00C62327" w:rsidRPr="00184B16">
        <w:rPr>
          <w:color w:val="auto"/>
        </w:rPr>
        <w:t>4</w:t>
      </w:r>
      <w:r w:rsidRPr="00184B16">
        <w:rPr>
          <w:color w:val="auto"/>
        </w:rPr>
        <w:t xml:space="preserve"> </w:t>
      </w:r>
      <w:r w:rsidR="003C6034" w:rsidRPr="00184B16">
        <w:rPr>
          <w:caps w:val="0"/>
          <w:color w:val="auto"/>
        </w:rPr>
        <w:t>REGULAR SESSION</w:t>
      </w:r>
    </w:p>
    <w:p w14:paraId="7A572C9D" w14:textId="77777777" w:rsidR="00CD36CF" w:rsidRPr="00184B16" w:rsidRDefault="0033746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E9A427807F4DCF93D89903BC9970D9"/>
          </w:placeholder>
          <w:text/>
        </w:sdtPr>
        <w:sdtEndPr/>
        <w:sdtContent>
          <w:r w:rsidR="00AE48A0" w:rsidRPr="00184B16">
            <w:rPr>
              <w:color w:val="auto"/>
            </w:rPr>
            <w:t>Introduced</w:t>
          </w:r>
        </w:sdtContent>
      </w:sdt>
    </w:p>
    <w:p w14:paraId="7D577872" w14:textId="35929B56" w:rsidR="00CD36CF" w:rsidRPr="00184B16" w:rsidRDefault="0033746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C57BC3AA6A7413CA872C9F172A3703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8306B" w:rsidRPr="00184B16">
            <w:rPr>
              <w:color w:val="auto"/>
            </w:rPr>
            <w:t>Senate</w:t>
          </w:r>
        </w:sdtContent>
      </w:sdt>
      <w:r w:rsidR="00303684" w:rsidRPr="00184B16">
        <w:rPr>
          <w:color w:val="auto"/>
        </w:rPr>
        <w:t xml:space="preserve"> </w:t>
      </w:r>
      <w:r w:rsidR="00CD36CF" w:rsidRPr="00184B1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0F5D68F794F45FDABFF4849DD332B78"/>
          </w:placeholder>
          <w:text/>
        </w:sdtPr>
        <w:sdtEndPr/>
        <w:sdtContent>
          <w:r w:rsidR="000028F8">
            <w:rPr>
              <w:color w:val="auto"/>
            </w:rPr>
            <w:t>408</w:t>
          </w:r>
        </w:sdtContent>
      </w:sdt>
    </w:p>
    <w:p w14:paraId="1FB49F88" w14:textId="5BAAF52F" w:rsidR="00CD36CF" w:rsidRPr="00184B16" w:rsidRDefault="00CD36CF" w:rsidP="00CC1F3B">
      <w:pPr>
        <w:pStyle w:val="Sponsors"/>
        <w:rPr>
          <w:color w:val="auto"/>
        </w:rPr>
      </w:pPr>
      <w:r w:rsidRPr="00184B1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712702F9D954145BE2CC782D12F95B3"/>
          </w:placeholder>
          <w:text w:multiLine="1"/>
        </w:sdtPr>
        <w:sdtEndPr/>
        <w:sdtContent>
          <w:r w:rsidR="0038306B" w:rsidRPr="00184B16">
            <w:rPr>
              <w:color w:val="auto"/>
            </w:rPr>
            <w:t>Senator</w:t>
          </w:r>
          <w:r w:rsidR="00E70F2A">
            <w:rPr>
              <w:color w:val="auto"/>
            </w:rPr>
            <w:t>s</w:t>
          </w:r>
          <w:r w:rsidR="0038306B" w:rsidRPr="00184B16">
            <w:rPr>
              <w:color w:val="auto"/>
            </w:rPr>
            <w:t xml:space="preserve"> Chapman</w:t>
          </w:r>
          <w:r w:rsidR="00E70F2A">
            <w:rPr>
              <w:color w:val="auto"/>
            </w:rPr>
            <w:t>, Deeds, Grady, Hamilton</w:t>
          </w:r>
          <w:r w:rsidR="00337468">
            <w:rPr>
              <w:color w:val="auto"/>
            </w:rPr>
            <w:t>, and Woelfel</w:t>
          </w:r>
        </w:sdtContent>
      </w:sdt>
    </w:p>
    <w:p w14:paraId="6F58F075" w14:textId="72A41F91" w:rsidR="00E831B3" w:rsidRPr="00184B16" w:rsidRDefault="00CD36CF" w:rsidP="00CC1F3B">
      <w:pPr>
        <w:pStyle w:val="References"/>
        <w:rPr>
          <w:color w:val="auto"/>
        </w:rPr>
      </w:pPr>
      <w:r w:rsidRPr="00184B1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7084A308DB248DFB33E6F95EA217009"/>
          </w:placeholder>
          <w:text w:multiLine="1"/>
        </w:sdtPr>
        <w:sdtEndPr/>
        <w:sdtContent>
          <w:r w:rsidR="000028F8" w:rsidRPr="00184B16">
            <w:rPr>
              <w:color w:val="auto"/>
            </w:rPr>
            <w:t xml:space="preserve">Introduced </w:t>
          </w:r>
          <w:r w:rsidR="000028F8" w:rsidRPr="006E6EF4">
            <w:rPr>
              <w:color w:val="auto"/>
            </w:rPr>
            <w:t>January 12, 2024</w:t>
          </w:r>
          <w:r w:rsidR="000028F8" w:rsidRPr="00184B16">
            <w:rPr>
              <w:color w:val="auto"/>
            </w:rPr>
            <w:t>; referred</w:t>
          </w:r>
          <w:r w:rsidR="000028F8" w:rsidRPr="00184B16">
            <w:rPr>
              <w:color w:val="auto"/>
            </w:rPr>
            <w:br/>
            <w:t xml:space="preserve">to the Committee on </w:t>
          </w:r>
          <w:r w:rsidR="00010ADA">
            <w:rPr>
              <w:color w:val="auto"/>
            </w:rPr>
            <w:t>Pensions</w:t>
          </w:r>
        </w:sdtContent>
      </w:sdt>
      <w:r w:rsidRPr="00184B16">
        <w:rPr>
          <w:color w:val="auto"/>
        </w:rPr>
        <w:t>]</w:t>
      </w:r>
    </w:p>
    <w:p w14:paraId="420DA05B" w14:textId="07165977" w:rsidR="00303684" w:rsidRPr="00184B16" w:rsidRDefault="0000526A" w:rsidP="00CC1F3B">
      <w:pPr>
        <w:pStyle w:val="TitleSection"/>
        <w:rPr>
          <w:color w:val="auto"/>
        </w:rPr>
      </w:pPr>
      <w:r w:rsidRPr="00184B16">
        <w:rPr>
          <w:color w:val="auto"/>
        </w:rPr>
        <w:lastRenderedPageBreak/>
        <w:t>A BILL</w:t>
      </w:r>
      <w:r w:rsidR="0038306B" w:rsidRPr="00184B16">
        <w:rPr>
          <w:color w:val="auto"/>
        </w:rPr>
        <w:t xml:space="preserve"> to amend and reenact §18-7A-38 of the Code of West Virginia, 1931, as amended, relating to permitting retirees under the </w:t>
      </w:r>
      <w:r w:rsidR="000028F8">
        <w:rPr>
          <w:color w:val="auto"/>
        </w:rPr>
        <w:t>S</w:t>
      </w:r>
      <w:r w:rsidR="0038306B" w:rsidRPr="00184B16">
        <w:rPr>
          <w:color w:val="auto"/>
        </w:rPr>
        <w:t xml:space="preserve">tate Teachers Retirement System to work as substitute teachers for up to 180 days per academic year without loss of the payment of monthly retirement benefits; adding a legislative finding; changing the allowed period of employment; providing that no additional retirement system contributions will be made </w:t>
      </w:r>
      <w:r w:rsidR="009710B9" w:rsidRPr="00184B16">
        <w:rPr>
          <w:color w:val="auto"/>
        </w:rPr>
        <w:t xml:space="preserve">by the employer </w:t>
      </w:r>
      <w:r w:rsidR="0038306B" w:rsidRPr="00184B16">
        <w:rPr>
          <w:color w:val="auto"/>
        </w:rPr>
        <w:t>from such employment</w:t>
      </w:r>
      <w:r w:rsidR="009710B9" w:rsidRPr="00184B16">
        <w:rPr>
          <w:color w:val="auto"/>
        </w:rPr>
        <w:t>; and allowing the retirant to choose to contribute to his or her retirement from this employment should the retirant choose to do so.</w:t>
      </w:r>
    </w:p>
    <w:p w14:paraId="1FCD939C" w14:textId="77777777" w:rsidR="00303684" w:rsidRPr="00184B16" w:rsidRDefault="00303684" w:rsidP="00CC1F3B">
      <w:pPr>
        <w:pStyle w:val="EnactingClause"/>
        <w:rPr>
          <w:color w:val="auto"/>
        </w:rPr>
      </w:pPr>
      <w:r w:rsidRPr="00184B16">
        <w:rPr>
          <w:color w:val="auto"/>
        </w:rPr>
        <w:t>Be it enacted by the Legislature of West Virginia:</w:t>
      </w:r>
    </w:p>
    <w:p w14:paraId="2CA48544" w14:textId="77777777" w:rsidR="003C6034" w:rsidRPr="00184B16" w:rsidRDefault="003C6034" w:rsidP="00CC1F3B">
      <w:pPr>
        <w:pStyle w:val="EnactingClause"/>
        <w:rPr>
          <w:color w:val="auto"/>
        </w:rPr>
        <w:sectPr w:rsidR="003C6034" w:rsidRPr="00184B1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E66D062" w14:textId="77777777" w:rsidR="009710B9" w:rsidRPr="00184B16" w:rsidRDefault="0038306B" w:rsidP="0038306B">
      <w:pPr>
        <w:pStyle w:val="ArticleHeading"/>
        <w:rPr>
          <w:color w:val="auto"/>
        </w:rPr>
        <w:sectPr w:rsidR="009710B9" w:rsidRPr="00184B16" w:rsidSect="008121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4B16">
        <w:rPr>
          <w:color w:val="auto"/>
        </w:rPr>
        <w:t>ARTICLE 7A. STATE TEACHERS RETIREMENT SYSTEM.</w:t>
      </w:r>
    </w:p>
    <w:p w14:paraId="79903824" w14:textId="77777777" w:rsidR="0038306B" w:rsidRPr="00184B16" w:rsidRDefault="0038306B" w:rsidP="0038306B">
      <w:pPr>
        <w:pStyle w:val="SectionHeading"/>
        <w:rPr>
          <w:color w:val="auto"/>
        </w:rPr>
        <w:sectPr w:rsidR="0038306B" w:rsidRPr="00184B16" w:rsidSect="008121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4B16">
        <w:rPr>
          <w:color w:val="auto"/>
        </w:rPr>
        <w:t>§18-7A-38. Maximum number of days a retired teacher may accept employment; calculating days worked for retirants engaged in substitute teaching.</w:t>
      </w:r>
    </w:p>
    <w:p w14:paraId="2CC6AEBF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>(a) The Legislature finds that:</w:t>
      </w:r>
    </w:p>
    <w:p w14:paraId="5D2A9DFE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>(1) The Consolidated Public Retirement Board has determined that retired substitute teachers should not perform substitute teaching without limit;</w:t>
      </w:r>
    </w:p>
    <w:p w14:paraId="46FBF37D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 xml:space="preserve">(2) The Consolidated Public Retirement Board has established, by rule, a maximum number of days in which a retired teacher may accept employment prior to having his or her retirement benefit reduced; </w:t>
      </w:r>
      <w:r w:rsidRPr="00184B16">
        <w:rPr>
          <w:strike/>
          <w:color w:val="auto"/>
        </w:rPr>
        <w:t>and</w:t>
      </w:r>
    </w:p>
    <w:p w14:paraId="4AB8D08F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 xml:space="preserve">(3) There have been inconsistencies in the manner in which county boards calculate the maximum number of days established by rule; </w:t>
      </w:r>
      <w:r w:rsidRPr="00184B16">
        <w:rPr>
          <w:color w:val="auto"/>
          <w:u w:val="single"/>
        </w:rPr>
        <w:t>and</w:t>
      </w:r>
      <w:r w:rsidRPr="00184B16">
        <w:rPr>
          <w:color w:val="auto"/>
        </w:rPr>
        <w:t xml:space="preserve"> </w:t>
      </w:r>
    </w:p>
    <w:p w14:paraId="2F25E919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  <w:u w:val="single"/>
        </w:rPr>
        <w:t>(4) Employment of qualified retired teachers helps to alleviate persistent teacher shortages in this state.</w:t>
      </w:r>
    </w:p>
    <w:p w14:paraId="5C6C342E" w14:textId="527FF7D2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 xml:space="preserve">(b) The Consolidated Public Retirement Board may not set forth in rule a maximum number of days in which a retired teacher may accept employment prior to having his or her retirement benefit reduced that is less than </w:t>
      </w:r>
      <w:r w:rsidRPr="00184B16">
        <w:rPr>
          <w:strike/>
          <w:color w:val="auto"/>
        </w:rPr>
        <w:t>one hundred forty</w:t>
      </w:r>
      <w:r w:rsidRPr="00184B16">
        <w:rPr>
          <w:color w:val="auto"/>
        </w:rPr>
        <w:t xml:space="preserve"> </w:t>
      </w:r>
      <w:r w:rsidRPr="00184B16">
        <w:rPr>
          <w:color w:val="auto"/>
          <w:u w:val="single"/>
        </w:rPr>
        <w:t>180</w:t>
      </w:r>
      <w:r w:rsidRPr="00184B16">
        <w:rPr>
          <w:color w:val="auto"/>
        </w:rPr>
        <w:t xml:space="preserve"> days </w:t>
      </w:r>
      <w:r w:rsidRPr="00184B16">
        <w:rPr>
          <w:color w:val="auto"/>
          <w:u w:val="single"/>
        </w:rPr>
        <w:t>per academic year</w:t>
      </w:r>
      <w:r w:rsidRPr="00184B16">
        <w:rPr>
          <w:rFonts w:cstheme="minorHAnsi"/>
          <w:color w:val="auto"/>
          <w:u w:val="single"/>
        </w:rPr>
        <w:t>:</w:t>
      </w:r>
      <w:r w:rsidRPr="00184B16">
        <w:rPr>
          <w:rFonts w:cstheme="minorHAnsi"/>
          <w:color w:val="auto"/>
        </w:rPr>
        <w:t xml:space="preserve"> </w:t>
      </w:r>
      <w:r w:rsidRPr="00184B16">
        <w:rPr>
          <w:rFonts w:cstheme="minorHAnsi"/>
          <w:i/>
          <w:iCs/>
          <w:color w:val="auto"/>
          <w:u w:val="single"/>
        </w:rPr>
        <w:t>Provided</w:t>
      </w:r>
      <w:r w:rsidRPr="00184B16">
        <w:rPr>
          <w:rFonts w:cstheme="minorHAnsi"/>
          <w:color w:val="auto"/>
          <w:u w:val="single"/>
        </w:rPr>
        <w:t>, That</w:t>
      </w:r>
      <w:r w:rsidRPr="00184B16">
        <w:rPr>
          <w:color w:val="auto"/>
          <w:u w:val="single"/>
        </w:rPr>
        <w:t xml:space="preserve"> </w:t>
      </w:r>
      <w:r w:rsidR="00DF0727" w:rsidRPr="00184B16">
        <w:rPr>
          <w:color w:val="auto"/>
          <w:u w:val="single"/>
        </w:rPr>
        <w:t xml:space="preserve">a retirant who is employed by a participating employer as a substitute teacher may elect to contribute </w:t>
      </w:r>
      <w:r w:rsidRPr="00184B16">
        <w:rPr>
          <w:color w:val="auto"/>
          <w:u w:val="single"/>
        </w:rPr>
        <w:t>to the retirement system</w:t>
      </w:r>
      <w:r w:rsidR="00DF0727" w:rsidRPr="00184B16">
        <w:rPr>
          <w:color w:val="auto"/>
          <w:u w:val="single"/>
        </w:rPr>
        <w:t>; however,</w:t>
      </w:r>
      <w:r w:rsidRPr="00184B16">
        <w:rPr>
          <w:color w:val="auto"/>
          <w:u w:val="single"/>
        </w:rPr>
        <w:t xml:space="preserve"> no contribution shall be required of the </w:t>
      </w:r>
      <w:r w:rsidRPr="00184B16">
        <w:rPr>
          <w:color w:val="auto"/>
          <w:u w:val="single"/>
        </w:rPr>
        <w:lastRenderedPageBreak/>
        <w:t>employer while the retirant is so employed.</w:t>
      </w:r>
    </w:p>
    <w:p w14:paraId="3E1AA938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>(c) For the purpose of calculating whether a retired substitute teacher has exceeded the maximum number of days in which a substitute teacher may accept employment without incurring a reduction in his or her retirement benefit, the number of days worked shall be determined by:</w:t>
      </w:r>
    </w:p>
    <w:p w14:paraId="1FDAA163" w14:textId="77777777" w:rsidR="0038306B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>(1) Totaling the number of hours worked; and</w:t>
      </w:r>
    </w:p>
    <w:p w14:paraId="3E994105" w14:textId="216E16DA" w:rsidR="008736AA" w:rsidRPr="00184B16" w:rsidRDefault="0038306B" w:rsidP="0038306B">
      <w:pPr>
        <w:pStyle w:val="SectionBody"/>
        <w:rPr>
          <w:color w:val="auto"/>
        </w:rPr>
      </w:pPr>
      <w:r w:rsidRPr="00184B16">
        <w:rPr>
          <w:color w:val="auto"/>
        </w:rPr>
        <w:t>(2) Dividing by the standard number of hours that a full-time teacher works per day.</w:t>
      </w:r>
    </w:p>
    <w:p w14:paraId="186022F4" w14:textId="77777777" w:rsidR="00C33014" w:rsidRPr="00184B16" w:rsidRDefault="00C33014" w:rsidP="00CC1F3B">
      <w:pPr>
        <w:pStyle w:val="Note"/>
        <w:rPr>
          <w:color w:val="auto"/>
        </w:rPr>
      </w:pPr>
    </w:p>
    <w:p w14:paraId="3B299EB7" w14:textId="787B8F5E" w:rsidR="006865E9" w:rsidRPr="00184B16" w:rsidRDefault="00CF1DCA" w:rsidP="00CC1F3B">
      <w:pPr>
        <w:pStyle w:val="Note"/>
        <w:rPr>
          <w:color w:val="auto"/>
        </w:rPr>
      </w:pPr>
      <w:r w:rsidRPr="00184B16">
        <w:rPr>
          <w:color w:val="auto"/>
        </w:rPr>
        <w:t>NOTE: The</w:t>
      </w:r>
      <w:r w:rsidR="006865E9" w:rsidRPr="00184B16">
        <w:rPr>
          <w:color w:val="auto"/>
        </w:rPr>
        <w:t xml:space="preserve"> purpose of this bill is to </w:t>
      </w:r>
      <w:r w:rsidR="0038306B" w:rsidRPr="00184B16">
        <w:rPr>
          <w:color w:val="auto"/>
        </w:rPr>
        <w:t>allow retired teachers to serve as substitute teachers without sacrificing their retirement benefits</w:t>
      </w:r>
      <w:r w:rsidR="009710B9" w:rsidRPr="00184B16">
        <w:rPr>
          <w:color w:val="auto"/>
        </w:rPr>
        <w:t xml:space="preserve"> and allowing the retired teachers employed as substitute teachers to contribute to their retirement funds but that no contribution shall be required of the employer</w:t>
      </w:r>
      <w:r w:rsidR="0038306B" w:rsidRPr="00184B16">
        <w:rPr>
          <w:color w:val="auto"/>
        </w:rPr>
        <w:t>.</w:t>
      </w:r>
    </w:p>
    <w:p w14:paraId="46BAB589" w14:textId="77777777" w:rsidR="006865E9" w:rsidRPr="00184B16" w:rsidRDefault="00AE48A0" w:rsidP="00CC1F3B">
      <w:pPr>
        <w:pStyle w:val="Note"/>
        <w:rPr>
          <w:color w:val="auto"/>
        </w:rPr>
      </w:pPr>
      <w:r w:rsidRPr="00184B1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84B16" w:rsidSect="009863DA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DA6A" w14:textId="77777777" w:rsidR="0038306B" w:rsidRPr="00B844FE" w:rsidRDefault="0038306B" w:rsidP="00B844FE">
      <w:r>
        <w:separator/>
      </w:r>
    </w:p>
  </w:endnote>
  <w:endnote w:type="continuationSeparator" w:id="0">
    <w:p w14:paraId="1DF5B3AD" w14:textId="77777777" w:rsidR="0038306B" w:rsidRPr="00B844FE" w:rsidRDefault="0038306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9713A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DA57B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56B8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351410"/>
      <w:docPartObj>
        <w:docPartGallery w:val="Page Numbers (Bottom of Page)"/>
        <w:docPartUnique/>
      </w:docPartObj>
    </w:sdtPr>
    <w:sdtEndPr/>
    <w:sdtContent>
      <w:p w14:paraId="002146B9" w14:textId="77777777" w:rsidR="0038306B" w:rsidRPr="00B844FE" w:rsidRDefault="0038306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7A2D12B" w14:textId="77777777" w:rsidR="0038306B" w:rsidRDefault="0038306B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9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7F987" w14:textId="77777777" w:rsidR="0038306B" w:rsidRDefault="003830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BC9E7C" w14:textId="77777777" w:rsidR="0038306B" w:rsidRDefault="0038306B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278F" w14:textId="77777777" w:rsidR="0038306B" w:rsidRPr="00B844FE" w:rsidRDefault="0038306B" w:rsidP="00B844FE">
      <w:r>
        <w:separator/>
      </w:r>
    </w:p>
  </w:footnote>
  <w:footnote w:type="continuationSeparator" w:id="0">
    <w:p w14:paraId="03B33225" w14:textId="77777777" w:rsidR="0038306B" w:rsidRPr="00B844FE" w:rsidRDefault="0038306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731" w14:textId="77777777" w:rsidR="002A0269" w:rsidRPr="00B844FE" w:rsidRDefault="00337468">
    <w:pPr>
      <w:pStyle w:val="Header"/>
    </w:pPr>
    <w:sdt>
      <w:sdtPr>
        <w:id w:val="-684364211"/>
        <w:placeholder>
          <w:docPart w:val="8C57BC3AA6A7413CA872C9F172A3703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C57BC3AA6A7413CA872C9F172A3703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631A" w14:textId="3787650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8306B">
      <w:rPr>
        <w:sz w:val="22"/>
        <w:szCs w:val="22"/>
      </w:rPr>
      <w:t>SB</w:t>
    </w:r>
    <w:r w:rsidR="000028F8">
      <w:rPr>
        <w:sz w:val="22"/>
        <w:szCs w:val="22"/>
      </w:rPr>
      <w:t xml:space="preserve"> 408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8306B">
          <w:rPr>
            <w:sz w:val="22"/>
            <w:szCs w:val="22"/>
          </w:rPr>
          <w:t>2024R1848</w:t>
        </w:r>
      </w:sdtContent>
    </w:sdt>
  </w:p>
  <w:p w14:paraId="1E4488B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61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67D0" w14:textId="77777777" w:rsidR="0038306B" w:rsidRPr="00B844FE" w:rsidRDefault="00337468">
    <w:pPr>
      <w:pStyle w:val="Header"/>
    </w:pPr>
    <w:sdt>
      <w:sdtPr>
        <w:id w:val="786322184"/>
        <w:placeholder>
          <w:docPart w:val="8C57BC3AA6A7413CA872C9F172A37039"/>
        </w:placeholder>
        <w:temporary/>
        <w:showingPlcHdr/>
        <w15:appearance w15:val="hidden"/>
      </w:sdtPr>
      <w:sdtEndPr/>
      <w:sdtContent>
        <w:r w:rsidR="0038306B" w:rsidRPr="00B844FE">
          <w:t>[Type here]</w:t>
        </w:r>
      </w:sdtContent>
    </w:sdt>
    <w:r w:rsidR="0038306B" w:rsidRPr="00B844FE">
      <w:ptab w:relativeTo="margin" w:alignment="left" w:leader="none"/>
    </w:r>
    <w:sdt>
      <w:sdtPr>
        <w:id w:val="-1081216019"/>
        <w:placeholder>
          <w:docPart w:val="8C57BC3AA6A7413CA872C9F172A37039"/>
        </w:placeholder>
        <w:temporary/>
        <w:showingPlcHdr/>
        <w15:appearance w15:val="hidden"/>
      </w:sdtPr>
      <w:sdtEndPr/>
      <w:sdtContent>
        <w:r w:rsidR="0038306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4F9" w14:textId="59E169E8" w:rsidR="0038306B" w:rsidRPr="00686E9A" w:rsidRDefault="0038306B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014499461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="00DF0727">
      <w:rPr>
        <w:color w:val="auto"/>
        <w:sz w:val="22"/>
        <w:szCs w:val="22"/>
      </w:rPr>
      <w:t>S</w:t>
    </w:r>
    <w:r w:rsidRPr="000F5EB2">
      <w:rPr>
        <w:color w:val="auto"/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666826599"/>
        <w:text/>
      </w:sdtPr>
      <w:sdtEndPr/>
      <w:sdtContent>
        <w:r>
          <w:rPr>
            <w:sz w:val="22"/>
            <w:szCs w:val="22"/>
          </w:rPr>
          <w:t>2</w:t>
        </w:r>
        <w:r w:rsidR="00DF0727">
          <w:rPr>
            <w:sz w:val="22"/>
            <w:szCs w:val="22"/>
          </w:rPr>
          <w:t>024R1848</w:t>
        </w:r>
      </w:sdtContent>
    </w:sdt>
  </w:p>
  <w:p w14:paraId="2C6A7007" w14:textId="77777777" w:rsidR="0038306B" w:rsidRPr="004D3ABE" w:rsidRDefault="0038306B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28FD" w14:textId="77777777" w:rsidR="0038306B" w:rsidRPr="004D3ABE" w:rsidRDefault="0038306B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6B"/>
    <w:rsid w:val="000028F8"/>
    <w:rsid w:val="0000526A"/>
    <w:rsid w:val="00010AD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4B16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7468"/>
    <w:rsid w:val="0038306B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710B9"/>
    <w:rsid w:val="00980327"/>
    <w:rsid w:val="009863DA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0727"/>
    <w:rsid w:val="00DF199D"/>
    <w:rsid w:val="00E01542"/>
    <w:rsid w:val="00E365F1"/>
    <w:rsid w:val="00E62F48"/>
    <w:rsid w:val="00E70F2A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0C17B"/>
  <w15:chartTrackingRefBased/>
  <w15:docId w15:val="{93A57B19-E6D7-4B7C-BF6D-5B3E29CF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83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8306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8306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8306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E9A427807F4DCF93D89903BC99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3D10-4B84-4FA9-95C0-F7398B6A7EFF}"/>
      </w:docPartPr>
      <w:docPartBody>
        <w:p w:rsidR="00905117" w:rsidRDefault="00905117">
          <w:pPr>
            <w:pStyle w:val="82E9A427807F4DCF93D89903BC9970D9"/>
          </w:pPr>
          <w:r w:rsidRPr="00B844FE">
            <w:t>Prefix Text</w:t>
          </w:r>
        </w:p>
      </w:docPartBody>
    </w:docPart>
    <w:docPart>
      <w:docPartPr>
        <w:name w:val="8C57BC3AA6A7413CA872C9F172A3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0FA4-5817-4904-9A35-7891F2769195}"/>
      </w:docPartPr>
      <w:docPartBody>
        <w:p w:rsidR="00905117" w:rsidRDefault="00905117">
          <w:pPr>
            <w:pStyle w:val="8C57BC3AA6A7413CA872C9F172A37039"/>
          </w:pPr>
          <w:r w:rsidRPr="00B844FE">
            <w:t>[Type here]</w:t>
          </w:r>
        </w:p>
      </w:docPartBody>
    </w:docPart>
    <w:docPart>
      <w:docPartPr>
        <w:name w:val="50F5D68F794F45FDABFF4849DD33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1EA4-9090-4F0E-8A6A-0E0722AADDFB}"/>
      </w:docPartPr>
      <w:docPartBody>
        <w:p w:rsidR="00905117" w:rsidRDefault="00905117">
          <w:pPr>
            <w:pStyle w:val="50F5D68F794F45FDABFF4849DD332B78"/>
          </w:pPr>
          <w:r w:rsidRPr="00B844FE">
            <w:t>Number</w:t>
          </w:r>
        </w:p>
      </w:docPartBody>
    </w:docPart>
    <w:docPart>
      <w:docPartPr>
        <w:name w:val="C712702F9D954145BE2CC782D12F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85E-0755-4192-9759-ADB88CC3E29E}"/>
      </w:docPartPr>
      <w:docPartBody>
        <w:p w:rsidR="00905117" w:rsidRDefault="00905117">
          <w:pPr>
            <w:pStyle w:val="C712702F9D954145BE2CC782D12F95B3"/>
          </w:pPr>
          <w:r w:rsidRPr="00B844FE">
            <w:t>Enter Sponsors Here</w:t>
          </w:r>
        </w:p>
      </w:docPartBody>
    </w:docPart>
    <w:docPart>
      <w:docPartPr>
        <w:name w:val="37084A308DB248DFB33E6F95EA21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0ECE-A764-4C7C-86FB-46E202FBB035}"/>
      </w:docPartPr>
      <w:docPartBody>
        <w:p w:rsidR="00905117" w:rsidRDefault="00905117">
          <w:pPr>
            <w:pStyle w:val="37084A308DB248DFB33E6F95EA21700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17"/>
    <w:rsid w:val="009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E9A427807F4DCF93D89903BC9970D9">
    <w:name w:val="82E9A427807F4DCF93D89903BC9970D9"/>
  </w:style>
  <w:style w:type="paragraph" w:customStyle="1" w:styleId="8C57BC3AA6A7413CA872C9F172A37039">
    <w:name w:val="8C57BC3AA6A7413CA872C9F172A37039"/>
  </w:style>
  <w:style w:type="paragraph" w:customStyle="1" w:styleId="50F5D68F794F45FDABFF4849DD332B78">
    <w:name w:val="50F5D68F794F45FDABFF4849DD332B78"/>
  </w:style>
  <w:style w:type="paragraph" w:customStyle="1" w:styleId="C712702F9D954145BE2CC782D12F95B3">
    <w:name w:val="C712702F9D954145BE2CC782D12F95B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084A308DB248DFB33E6F95EA217009">
    <w:name w:val="37084A308DB248DFB33E6F95EA217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451</Words>
  <Characters>2602</Characters>
  <Application>Microsoft Office Word</Application>
  <DocSecurity>0</DocSecurity>
  <Lines>200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9</cp:revision>
  <dcterms:created xsi:type="dcterms:W3CDTF">2023-11-15T16:15:00Z</dcterms:created>
  <dcterms:modified xsi:type="dcterms:W3CDTF">2024-01-23T15:39:00Z</dcterms:modified>
</cp:coreProperties>
</file>